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ΠΙΝΑΚΑΣ ΤΕΛΩΝ ΘΕΩΡΗΣΕΩΝ</w:t>
      </w:r>
    </w:p>
    <w:p>
      <w:pPr>
        <w:pStyle w:val="Normal"/>
        <w:jc w:val="center"/>
        <w:rPr>
          <w:b/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</w:r>
    </w:p>
    <w:tbl>
      <w:tblPr>
        <w:tblW w:w="8522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2840"/>
        <w:gridCol w:w="2841"/>
        <w:gridCol w:w="2841"/>
      </w:tblGrid>
      <w:tr>
        <w:trPr/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ΤΕΛΟΣ ΘΕΩΡΗΣΕΩΣ</w:t>
            </w:r>
          </w:p>
        </w:tc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ΓΕΝΙΚΟΙ ΚΑΝΟΝΕΣ</w:t>
            </w:r>
          </w:p>
        </w:tc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ΠΑΡΑΤΗΡΗΣΕΙΣ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  <w:lang w:val="el-GR"/>
              </w:rPr>
              <w:t xml:space="preserve">0 </w:t>
            </w:r>
            <w:r>
              <w:rPr>
                <w:sz w:val="24"/>
                <w:szCs w:val="24"/>
                <w:lang w:val="en-US"/>
              </w:rPr>
              <w:t>ron</w:t>
            </w:r>
          </w:p>
        </w:tc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-Παιδιά έως 12 ετών.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-Μέλη οικογενείας πολιτών ΕΕ/ΕΟΧ και Ελβετών πολιτών.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-Μαθητές, φοιτητές, μεταπτυχιακοί φοιτητές και συνοδεύοντες καθηγητές, οι οποίοι παραμένουν στη χώρα για σκοπούς μελέτης ή εκπαιδεύσεως.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-Ερευνητές από τρίτες χώρες, οι οποίοι ταξιδεύουν με σκοπό τη διενέργεια επιστημονικής έρευνας.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-Εκπρόσωποι μη κερδοσκοπικών οργανισμών έως 25 ετών, οι οποίοι συμμετέχουν σε σεμινάρια, διασκέψεις, αθλητικές, πολιτιστικές ή εκπαιδευτικές εκδηλώσεις, τις οποίες διοργανώνουν μη κερδοσκοπικοί οργανισμοί.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- Κάτοχοι διπλωματικών και υπηρεσιακών διαβατηρίων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l-GR"/>
              </w:rPr>
            </w:pPr>
            <w:r>
              <w:rPr>
                <w:sz w:val="24"/>
                <w:lang w:val="el-GR"/>
              </w:rPr>
              <w:t>-</w:t>
            </w:r>
            <w:r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sz w:val="24"/>
                <w:lang w:val="el-GR"/>
              </w:rPr>
              <w:t>Νέοι έως 25 ετών οι οποίοι συμμετέχουν σε σεμινάρια, διασκέψεις, αθλητικές, πολιτιστικές ή εκπαιδευτικές εκδηλώσεις, τις οποίες διοργανώνουν μη κερδοσκοπικοί οργανισμοί</w:t>
            </w:r>
            <w:r>
              <w:rPr>
                <w:rFonts w:ascii="Times New Roman" w:hAnsi="Times New Roman"/>
                <w:sz w:val="24"/>
                <w:lang w:val="el-GR"/>
              </w:rPr>
              <w:t xml:space="preserve"> </w:t>
            </w:r>
          </w:p>
        </w:tc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</w:tc>
      </w:tr>
      <w:tr>
        <w:trPr/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center"/>
              <w:rPr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75</w:t>
            </w:r>
            <w:r>
              <w:rPr>
                <w:sz w:val="24"/>
                <w:szCs w:val="24"/>
                <w:lang w:val="en-US"/>
              </w:rPr>
              <w:t xml:space="preserve"> RON</w:t>
            </w:r>
          </w:p>
        </w:tc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  <w:lang w:val="el-GR"/>
              </w:rPr>
              <w:t>Πολίτες τρίτων χωρών με τις οποίες η ΕΕ έχει συνάψει Συμφωνίες Διευκολύνσεως Θεωρήσεων (</w:t>
            </w:r>
            <w:hyperlink r:id="rId2">
              <w:r>
                <w:rPr>
                  <w:rStyle w:val="InternetLink"/>
                  <w:sz w:val="24"/>
                  <w:szCs w:val="24"/>
                  <w:lang w:val="el-GR"/>
                </w:rPr>
                <w:t>Ρωσική Ομοσπονδία</w:t>
              </w:r>
            </w:hyperlink>
            <w:r>
              <w:rPr>
                <w:sz w:val="24"/>
                <w:szCs w:val="24"/>
                <w:lang w:val="el-GR"/>
              </w:rPr>
              <w:t xml:space="preserve">, Ουκρανία </w:t>
            </w:r>
            <w:hyperlink r:id="rId3">
              <w:r>
                <w:rPr>
                  <w:rStyle w:val="InternetLink"/>
                  <w:sz w:val="24"/>
                  <w:szCs w:val="24"/>
                  <w:lang w:val="el-GR"/>
                </w:rPr>
                <w:t>1</w:t>
              </w:r>
            </w:hyperlink>
            <w:r>
              <w:rPr>
                <w:sz w:val="24"/>
                <w:szCs w:val="24"/>
                <w:lang w:val="el-GR"/>
              </w:rPr>
              <w:t xml:space="preserve"> &amp; </w:t>
            </w:r>
            <w:hyperlink r:id="rId4">
              <w:r>
                <w:rPr>
                  <w:rStyle w:val="InternetLink"/>
                  <w:sz w:val="24"/>
                  <w:szCs w:val="24"/>
                  <w:lang w:val="el-GR"/>
                </w:rPr>
                <w:t>2</w:t>
              </w:r>
            </w:hyperlink>
            <w:r>
              <w:rPr>
                <w:sz w:val="24"/>
                <w:szCs w:val="24"/>
                <w:lang w:val="el-GR"/>
              </w:rPr>
              <w:t xml:space="preserve">), </w:t>
            </w:r>
            <w:hyperlink r:id="rId5">
              <w:r>
                <w:rPr>
                  <w:rStyle w:val="InternetLink"/>
                  <w:sz w:val="24"/>
                  <w:szCs w:val="24"/>
                  <w:lang w:val="el-GR"/>
                </w:rPr>
                <w:t>Γεωργία</w:t>
              </w:r>
            </w:hyperlink>
            <w:r>
              <w:rPr>
                <w:sz w:val="24"/>
                <w:szCs w:val="24"/>
                <w:lang w:val="el-GR"/>
              </w:rPr>
              <w:t xml:space="preserve">, </w:t>
            </w:r>
            <w:hyperlink r:id="rId6">
              <w:r>
                <w:rPr>
                  <w:rStyle w:val="InternetLink"/>
                  <w:sz w:val="24"/>
                  <w:szCs w:val="24"/>
                  <w:lang w:val="el-GR"/>
                </w:rPr>
                <w:t>Αρμενία</w:t>
              </w:r>
            </w:hyperlink>
            <w:r>
              <w:rPr>
                <w:sz w:val="24"/>
                <w:szCs w:val="24"/>
                <w:lang w:val="el-GR"/>
              </w:rPr>
              <w:t xml:space="preserve">, </w:t>
            </w:r>
            <w:hyperlink r:id="rId7">
              <w:r>
                <w:rPr>
                  <w:rStyle w:val="InternetLink"/>
                  <w:sz w:val="24"/>
                  <w:szCs w:val="24"/>
                  <w:lang w:val="el-GR"/>
                </w:rPr>
                <w:t>Αζερμπαϊτζάν</w:t>
              </w:r>
            </w:hyperlink>
            <w:r>
              <w:rPr>
                <w:sz w:val="24"/>
                <w:szCs w:val="24"/>
                <w:lang w:val="el-GR"/>
              </w:rPr>
              <w:t xml:space="preserve">, </w:t>
            </w:r>
            <w:hyperlink r:id="rId8">
              <w:r>
                <w:rPr>
                  <w:rStyle w:val="InternetLink"/>
                  <w:i/>
                  <w:sz w:val="24"/>
                  <w:szCs w:val="24"/>
                  <w:lang w:val="el-GR"/>
                </w:rPr>
                <w:t>Πράσινο Ακρωτήριο</w:t>
              </w:r>
            </w:hyperlink>
            <w:r>
              <w:rPr>
                <w:i/>
                <w:sz w:val="24"/>
                <w:szCs w:val="24"/>
                <w:lang w:val="el-GR"/>
              </w:rPr>
              <w:t xml:space="preserve"> *</w:t>
            </w:r>
            <w:r>
              <w:rPr>
                <w:sz w:val="24"/>
                <w:szCs w:val="24"/>
                <w:lang w:val="el-GR"/>
              </w:rPr>
              <w:t>, Μολδαβία (</w:t>
            </w:r>
            <w:hyperlink r:id="rId9">
              <w:r>
                <w:rPr>
                  <w:rStyle w:val="InternetLink"/>
                  <w:sz w:val="24"/>
                  <w:szCs w:val="24"/>
                  <w:lang w:val="el-GR"/>
                </w:rPr>
                <w:t>1</w:t>
              </w:r>
            </w:hyperlink>
            <w:r>
              <w:rPr>
                <w:sz w:val="24"/>
                <w:szCs w:val="24"/>
                <w:lang w:val="el-GR"/>
              </w:rPr>
              <w:t xml:space="preserve"> &amp; </w:t>
            </w:r>
            <w:hyperlink r:id="rId10">
              <w:r>
                <w:rPr>
                  <w:rStyle w:val="InternetLink"/>
                  <w:sz w:val="24"/>
                  <w:szCs w:val="24"/>
                  <w:lang w:val="el-GR"/>
                </w:rPr>
                <w:t>2</w:t>
              </w:r>
            </w:hyperlink>
            <w:r>
              <w:rPr>
                <w:sz w:val="24"/>
                <w:szCs w:val="24"/>
                <w:lang w:val="el-GR"/>
              </w:rPr>
              <w:t xml:space="preserve">), </w:t>
            </w:r>
            <w:hyperlink r:id="rId11">
              <w:r>
                <w:rPr>
                  <w:rStyle w:val="InternetLink"/>
                  <w:sz w:val="24"/>
                  <w:szCs w:val="24"/>
                  <w:lang w:val="el-GR"/>
                </w:rPr>
                <w:t>Αλβανία</w:t>
              </w:r>
            </w:hyperlink>
            <w:r>
              <w:rPr>
                <w:sz w:val="24"/>
                <w:szCs w:val="24"/>
                <w:lang w:val="el-GR"/>
              </w:rPr>
              <w:t xml:space="preserve">, </w:t>
            </w:r>
            <w:hyperlink r:id="rId12">
              <w:r>
                <w:rPr>
                  <w:rStyle w:val="InternetLink"/>
                  <w:sz w:val="24"/>
                  <w:szCs w:val="24"/>
                  <w:lang w:val="el-GR"/>
                </w:rPr>
                <w:t>Σερβία</w:t>
              </w:r>
            </w:hyperlink>
            <w:r>
              <w:rPr>
                <w:sz w:val="24"/>
                <w:szCs w:val="24"/>
                <w:lang w:val="el-GR"/>
              </w:rPr>
              <w:t xml:space="preserve">, </w:t>
            </w:r>
            <w:hyperlink r:id="rId13">
              <w:r>
                <w:rPr>
                  <w:rStyle w:val="InternetLink"/>
                  <w:sz w:val="24"/>
                  <w:szCs w:val="24"/>
                  <w:lang w:val="el-GR"/>
                </w:rPr>
                <w:t>Μαυροβούνιο</w:t>
              </w:r>
            </w:hyperlink>
            <w:r>
              <w:rPr>
                <w:sz w:val="24"/>
                <w:szCs w:val="24"/>
                <w:lang w:val="el-GR"/>
              </w:rPr>
              <w:t xml:space="preserve">, </w:t>
            </w:r>
            <w:hyperlink r:id="rId14">
              <w:r>
                <w:rPr>
                  <w:rStyle w:val="InternetLink"/>
                  <w:sz w:val="24"/>
                  <w:szCs w:val="24"/>
                  <w:lang w:val="el-GR"/>
                </w:rPr>
                <w:t>Βοσνία &amp; Ερζεγοβίνη</w:t>
              </w:r>
            </w:hyperlink>
            <w:r>
              <w:rPr>
                <w:sz w:val="24"/>
                <w:szCs w:val="24"/>
                <w:lang w:val="el-GR"/>
              </w:rPr>
              <w:t xml:space="preserve">, </w:t>
            </w:r>
            <w:hyperlink r:id="rId15">
              <w:r>
                <w:rPr>
                  <w:rStyle w:val="InternetLink"/>
                  <w:sz w:val="24"/>
                  <w:szCs w:val="24"/>
                  <w:lang w:val="el-GR"/>
                </w:rPr>
                <w:t>ΠΓΔΜ</w:t>
              </w:r>
            </w:hyperlink>
            <w:r>
              <w:rPr>
                <w:color w:val="0070C0"/>
                <w:sz w:val="24"/>
                <w:szCs w:val="24"/>
                <w:lang w:val="el-GR"/>
              </w:rPr>
              <w:t>)</w:t>
            </w:r>
          </w:p>
        </w:tc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Για ορισμένες κατηγορίες πολιτών των χωρών αυτών προβλέπεται η χορήγηση θεωρήσεων ατελώς. Παρακαλούμε ελέγξτε τη σχετική Συμφωνία.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*</w:t>
            </w:r>
            <w:r>
              <w:rPr>
                <w:i/>
                <w:sz w:val="24"/>
                <w:szCs w:val="24"/>
                <w:lang w:val="el-GR"/>
              </w:rPr>
              <w:t>Το τέλος θεωρήσεως για τους πολίτες του Πρασίνου Ακρωτηρίου είναι 60 ευρώ, αλλά υπάρχουν εξαιρέσεις για ορισμένες κατηγορίες</w:t>
            </w:r>
          </w:p>
        </w:tc>
      </w:tr>
      <w:tr>
        <w:trPr/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4"/>
                <w:szCs w:val="24"/>
                <w:lang w:val="en-US"/>
              </w:rPr>
              <w:t>400</w:t>
            </w:r>
            <w:r>
              <w:rPr>
                <w:sz w:val="24"/>
                <w:szCs w:val="24"/>
                <w:lang w:val="en-US"/>
              </w:rPr>
              <w:t xml:space="preserve"> RON</w:t>
            </w:r>
          </w:p>
        </w:tc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sz w:val="24"/>
                <w:szCs w:val="24"/>
                <w:lang w:val="el-GR"/>
              </w:rPr>
              <w:t>Όλοι οι υπόλοιποι αιτούντες, οι οποίοι δεν περιλαμβάνονται στις ανωτέρω κατηγορίες.</w:t>
            </w:r>
          </w:p>
        </w:tc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</w:r>
          </w:p>
        </w:tc>
      </w:tr>
    </w:tbl>
    <w:p>
      <w:pPr>
        <w:pStyle w:val="Normal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</w:r>
    </w:p>
    <w:p>
      <w:pPr>
        <w:pStyle w:val="Normal"/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Σημείωση 1</w:t>
      </w:r>
      <w:r>
        <w:rPr>
          <w:sz w:val="24"/>
          <w:szCs w:val="24"/>
          <w:lang w:val="el-GR"/>
        </w:rPr>
        <w:t>: Κατά την πληρωμή του τέλους θεωρήσεως χορηγείται απόδειξη.</w:t>
      </w:r>
    </w:p>
    <w:p>
      <w:pPr>
        <w:pStyle w:val="Normal"/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t>Σημείωση 2:</w:t>
      </w:r>
      <w:r>
        <w:rPr>
          <w:sz w:val="24"/>
          <w:szCs w:val="24"/>
          <w:lang w:val="el-GR"/>
        </w:rPr>
        <w:t xml:space="preserve"> Το τέλος θεωρήσεως δεν επιστρέφεται, εκτός από τις περιπτώσεις κατά τις οποίες η προξενική Αρχή δεν κάνει παραδεκτή την αίτηση θεωρήσεως .</w:t>
      </w:r>
    </w:p>
    <w:p>
      <w:pPr>
        <w:pStyle w:val="Normal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l-GR" w:eastAsia="el-G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78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de068c"/>
    <w:rPr>
      <w:color w:val="0000FF"/>
      <w:u w:val="single"/>
    </w:rPr>
  </w:style>
  <w:style w:type="character" w:styleId="ListLabel1">
    <w:name w:val="ListLabel 1"/>
    <w:qFormat/>
    <w:rPr>
      <w:sz w:val="24"/>
      <w:szCs w:val="24"/>
      <w:lang w:val="el-GR"/>
    </w:rPr>
  </w:style>
  <w:style w:type="character" w:styleId="ListLabel2">
    <w:name w:val="ListLabel 2"/>
    <w:qFormat/>
    <w:rPr>
      <w:i/>
      <w:sz w:val="24"/>
      <w:szCs w:val="24"/>
      <w:lang w:val="el-GR"/>
    </w:rPr>
  </w:style>
  <w:style w:type="character" w:styleId="ListLabel3">
    <w:name w:val="ListLabel 3"/>
    <w:qFormat/>
    <w:rPr>
      <w:sz w:val="24"/>
      <w:szCs w:val="24"/>
      <w:lang w:val="el-GR"/>
    </w:rPr>
  </w:style>
  <w:style w:type="character" w:styleId="ListLabel4">
    <w:name w:val="ListLabel 4"/>
    <w:qFormat/>
    <w:rPr>
      <w:i/>
      <w:sz w:val="24"/>
      <w:szCs w:val="24"/>
      <w:lang w:val="el-G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41c02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ur-lex.europa.eu/legal-content/EL/TXT/PDF/?uri=CELEX:22007A0517(01)&amp;from=EN" TargetMode="External"/><Relationship Id="rId3" Type="http://schemas.openxmlformats.org/officeDocument/2006/relationships/hyperlink" Target="http://eur-lex.europa.eu/legal-content/EL/TXT/PDF/?uri=CELEX:22013A0620(02)&amp;from=EN" TargetMode="External"/><Relationship Id="rId4" Type="http://schemas.openxmlformats.org/officeDocument/2006/relationships/hyperlink" Target="http://eur-lex.europa.eu/legal-content/EL/TXT/PDF/?uri=CELEX:22007A1218(02)&amp;from=EN" TargetMode="External"/><Relationship Id="rId5" Type="http://schemas.openxmlformats.org/officeDocument/2006/relationships/hyperlink" Target="http://eur-lex.europa.eu/legal-content/EL/TXT/PDF/?uri=CELEX:22011A0225(02)&amp;from=EN" TargetMode="External"/><Relationship Id="rId6" Type="http://schemas.openxmlformats.org/officeDocument/2006/relationships/hyperlink" Target="http://eur-lex.europa.eu/legal-content/EL/TXT/PDF/?uri=CELEX:22013A1031(01)&amp;from=EN" TargetMode="External"/><Relationship Id="rId7" Type="http://schemas.openxmlformats.org/officeDocument/2006/relationships/hyperlink" Target="http://eur-lex.europa.eu/legal-content/EL/TXT/PDF/?uri=CELEX:22014A0430(02)&amp;from=EN" TargetMode="External"/><Relationship Id="rId8" Type="http://schemas.openxmlformats.org/officeDocument/2006/relationships/hyperlink" Target="http://eur-lex.europa.eu/legal-content/EL/TXT/PDF/?uri=CELEX:22013A1024(01)&amp;from=EN" TargetMode="External"/><Relationship Id="rId9" Type="http://schemas.openxmlformats.org/officeDocument/2006/relationships/hyperlink" Target="http://eur-lex.europa.eu/legal-content/EL/TXT/PDF/?uri=CELEX:22013A0620(01)&amp;from=EN" TargetMode="External"/><Relationship Id="rId10" Type="http://schemas.openxmlformats.org/officeDocument/2006/relationships/hyperlink" Target="http://eur-lex.europa.eu/legal-content/EN/ALL/?uri=CELEX:22007A1219(11)&amp;qid=1395934660871" TargetMode="External"/><Relationship Id="rId11" Type="http://schemas.openxmlformats.org/officeDocument/2006/relationships/hyperlink" Target="http://eur-lex.europa.eu/legal-content/EL/TXT/PDF/?uri=CELEX:22007A1219(05)&amp;from=EN" TargetMode="External"/><Relationship Id="rId12" Type="http://schemas.openxmlformats.org/officeDocument/2006/relationships/hyperlink" Target="http://eur-lex.europa.eu/legal-content/EL/TXT/PDF/?uri=CELEX:22007A1219(09)&amp;from=EN" TargetMode="External"/><Relationship Id="rId13" Type="http://schemas.openxmlformats.org/officeDocument/2006/relationships/hyperlink" Target="http://eur-lex.europa.eu/legal-content/EL/TXT/PDF/?uri=CELEX:22007A1219(07)&amp;from=EN" TargetMode="External"/><Relationship Id="rId14" Type="http://schemas.openxmlformats.org/officeDocument/2006/relationships/hyperlink" Target="http://eur-lex.europa.eu/legal-content/EL/TXT/PDF/?uri=CELEX:22007A1219(06)&amp;from=EN" TargetMode="External"/><Relationship Id="rId15" Type="http://schemas.openxmlformats.org/officeDocument/2006/relationships/hyperlink" Target="http://eur-lex.europa.eu/legal-content/EL/TXT/PDF/?uri=CELEX:22007A1219(08)&amp;from=EN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LibreOffice/6.0.7.3$Linux_X86_64 LibreOffice_project/00m0$Build-3</Application>
  <Pages>2</Pages>
  <Words>223</Words>
  <Characters>1419</Characters>
  <CharactersWithSpaces>1624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2016-12-13T14:01:00Z</dcterms:created>
  <dc:creator>User</dc:creator>
  <dc:description/>
  <dc:language>en-US</dc:language>
  <cp:lastModifiedBy/>
  <dcterms:modified xsi:type="dcterms:W3CDTF">2020-10-01T10:19:44Z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