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238B" w14:textId="77777777" w:rsidR="0021483D" w:rsidRPr="00BA1DC8" w:rsidRDefault="008B005B">
      <w:pPr>
        <w:pageBreakBefore/>
        <w:jc w:val="center"/>
        <w:rPr>
          <w:rFonts w:ascii="sans-serif" w:hAnsi="sans-serif"/>
          <w:b/>
          <w:sz w:val="24"/>
          <w:szCs w:val="24"/>
          <w:u w:val="single"/>
          <w:lang w:val="fr-FR"/>
        </w:rPr>
      </w:pPr>
      <w:r w:rsidRPr="00BA1DC8">
        <w:rPr>
          <w:rFonts w:ascii="sans-serif" w:hAnsi="sans-serif"/>
          <w:b/>
          <w:sz w:val="24"/>
          <w:szCs w:val="24"/>
          <w:u w:val="single"/>
          <w:lang w:val="fr-FR"/>
        </w:rPr>
        <w:t>TABLEAU DES DROITS DE VISA</w:t>
      </w:r>
    </w:p>
    <w:p w14:paraId="0AAA48CB" w14:textId="77777777" w:rsidR="0021483D" w:rsidRPr="00BA1DC8" w:rsidRDefault="0021483D">
      <w:pPr>
        <w:jc w:val="center"/>
        <w:rPr>
          <w:lang w:val="fr-FR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0"/>
        <w:gridCol w:w="2838"/>
        <w:gridCol w:w="2844"/>
      </w:tblGrid>
      <w:tr w:rsidR="0021483D" w14:paraId="6C961C52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B73730" w14:textId="77777777" w:rsidR="0021483D" w:rsidRDefault="008B005B">
            <w:pPr>
              <w:spacing w:after="0"/>
              <w:jc w:val="center"/>
              <w:rPr>
                <w:rFonts w:ascii="sans-serif" w:hAnsi="sans-serif"/>
                <w:b/>
                <w:sz w:val="24"/>
                <w:szCs w:val="24"/>
                <w:lang w:val="en-US"/>
              </w:rPr>
            </w:pPr>
            <w:r>
              <w:rPr>
                <w:rFonts w:ascii="sans-serif" w:hAnsi="sans-serif"/>
                <w:b/>
                <w:sz w:val="24"/>
                <w:szCs w:val="24"/>
                <w:lang w:val="en-US"/>
              </w:rPr>
              <w:t>DROITS DE VISA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CD030E" w14:textId="77777777" w:rsidR="0021483D" w:rsidRDefault="008B005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REGLES GENERALES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FB0906" w14:textId="77777777" w:rsidR="0021483D" w:rsidRDefault="008B005B">
            <w:pPr>
              <w:spacing w:after="0"/>
              <w:jc w:val="center"/>
              <w:rPr>
                <w:rFonts w:ascii="sans-serif" w:hAnsi="sans-serif"/>
                <w:b/>
                <w:sz w:val="24"/>
                <w:szCs w:val="24"/>
                <w:lang w:val="en-US"/>
              </w:rPr>
            </w:pPr>
            <w:r>
              <w:rPr>
                <w:rFonts w:ascii="sans-serif" w:hAnsi="sans-serif"/>
                <w:b/>
                <w:sz w:val="24"/>
                <w:szCs w:val="24"/>
                <w:lang w:val="en-US"/>
              </w:rPr>
              <w:t>OBSERVATIONS</w:t>
            </w:r>
          </w:p>
        </w:tc>
      </w:tr>
      <w:tr w:rsidR="0021483D" w14:paraId="3C54DCFD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C95A44" w14:textId="77777777" w:rsidR="0021483D" w:rsidRDefault="008B005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98D2DF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sz w:val="24"/>
                <w:szCs w:val="24"/>
                <w:lang w:val="fr-FR"/>
              </w:rPr>
              <w:t>-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Enfants jusqu’à </w:t>
            </w:r>
            <w:r w:rsidR="00382C86">
              <w:rPr>
                <w:rFonts w:ascii="sans-serif" w:hAnsi="sans-serif"/>
                <w:sz w:val="24"/>
                <w:szCs w:val="24"/>
                <w:lang w:val="fr-FR"/>
              </w:rPr>
              <w:t>6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 ans.</w:t>
            </w:r>
          </w:p>
          <w:p w14:paraId="09DE8BA2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-Membres de famille de citoyens de l’Union Européenne, de l’Espace</w:t>
            </w:r>
          </w:p>
          <w:p w14:paraId="399F786E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Economique Européen et de la Suisse.</w:t>
            </w:r>
          </w:p>
          <w:p w14:paraId="35DBDEBE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-Elèves, étudiants, étudiants postuniversitaires et professeurs accompagnants qui séjournent dans le pays à des fins d’études ou de formation.</w:t>
            </w:r>
          </w:p>
          <w:p w14:paraId="4EFCDD23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-Chercheurs venant de pays tiers voyageant afin de mener une recherche scientifique.</w:t>
            </w:r>
          </w:p>
          <w:p w14:paraId="55BC77CE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-Représentants d’organisations à but non</w:t>
            </w:r>
          </w:p>
          <w:p w14:paraId="3A4D0FD9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 lucratif jusqu’à 25 ans, participant à des séminaires, conférences, manifestations sportives, culturelles ou éducatives, organisés par des organisations à but non-lucratif.</w:t>
            </w:r>
          </w:p>
          <w:p w14:paraId="3965D4E5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-Titulaires de passeports diplomatiques et de service.</w:t>
            </w:r>
          </w:p>
          <w:p w14:paraId="12A51F99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-Jeunesjusqu’à 25 ans, participant à des séminaires, conférences, 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lastRenderedPageBreak/>
              <w:t>manifestations sportives, culturelles ou éducatives, organisés par des organisations à but non-lucratif</w:t>
            </w:r>
          </w:p>
          <w:p w14:paraId="63B9F238" w14:textId="77777777" w:rsidR="0021483D" w:rsidRDefault="008B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8E2CAD" w14:textId="77777777" w:rsidR="0021483D" w:rsidRDefault="002148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483D" w:rsidRPr="00A42C72" w14:paraId="5693F729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AE9E5E" w14:textId="79F3FEFF" w:rsidR="0021483D" w:rsidRDefault="00170925" w:rsidP="00A21939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BB1E1E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l-GR"/>
              </w:rPr>
              <w:t>,</w:t>
            </w:r>
            <w:r w:rsidR="00A42C72">
              <w:rPr>
                <w:sz w:val="24"/>
                <w:szCs w:val="24"/>
                <w:lang w:val="el-GR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="008B005B">
              <w:rPr>
                <w:sz w:val="24"/>
                <w:szCs w:val="24"/>
                <w:lang w:val="el-GR"/>
              </w:rPr>
              <w:t>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FE486D" w14:textId="77777777" w:rsidR="0021483D" w:rsidRPr="008B005B" w:rsidRDefault="008B005B">
            <w:pPr>
              <w:spacing w:before="240"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sz w:val="24"/>
                <w:szCs w:val="24"/>
                <w:lang w:val="fr-FR"/>
              </w:rPr>
              <w:t>-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Citoyens de pays tiers avec lesquels l’Union Européenne a conclu des accords de facilitation de délivrance de visas (</w:t>
            </w:r>
            <w:hyperlink r:id="rId4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Fédération Russe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</w:p>
          <w:p w14:paraId="552D53FD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Ukraine </w:t>
            </w:r>
            <w:hyperlink r:id="rId5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1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&amp; </w:t>
            </w:r>
            <w:hyperlink r:id="rId6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2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), </w:t>
            </w:r>
            <w:hyperlink r:id="rId7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Géorgie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8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Arménie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9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Azerbaïdjan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10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Cap Vert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*, Moldavie (</w:t>
            </w:r>
            <w:hyperlink r:id="rId11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1</w:t>
              </w:r>
            </w:hyperlink>
            <w:r w:rsidRPr="008B005B">
              <w:rPr>
                <w:rFonts w:ascii="sans-serif" w:hAnsi="sans-serif"/>
                <w:color w:val="000000"/>
                <w:sz w:val="24"/>
                <w:szCs w:val="24"/>
                <w:lang w:val="fr-FR"/>
              </w:rPr>
              <w:t xml:space="preserve"> &amp; </w:t>
            </w:r>
            <w:hyperlink r:id="rId12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2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), </w:t>
            </w:r>
            <w:hyperlink r:id="rId13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Albanie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14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Serbie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15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Monténégro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16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Bosnie &amp; Herzégovine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, </w:t>
            </w:r>
            <w:hyperlink r:id="rId17">
              <w:r w:rsidRPr="008B005B">
                <w:rPr>
                  <w:rStyle w:val="InternetLink"/>
                  <w:rFonts w:ascii="sans-serif" w:hAnsi="sans-serif"/>
                  <w:sz w:val="24"/>
                  <w:szCs w:val="24"/>
                  <w:lang w:val="fr-FR"/>
                </w:rPr>
                <w:t>Ex-République Yougoslave de Macédoine</w:t>
              </w:r>
            </w:hyperlink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)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FBFB4F" w14:textId="77777777" w:rsidR="0021483D" w:rsidRPr="008B005B" w:rsidRDefault="008B005B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>Pour certaines catégories de citoyens de ces pays il est prévu la délivrance de visas à titre gratuit. Vous êtes priés de consulter l’accord y relatif.</w:t>
            </w:r>
          </w:p>
          <w:p w14:paraId="4BE4DCD7" w14:textId="77777777" w:rsidR="0021483D" w:rsidRPr="008B005B" w:rsidRDefault="0021483D">
            <w:pPr>
              <w:spacing w:after="0"/>
              <w:rPr>
                <w:sz w:val="24"/>
                <w:szCs w:val="24"/>
                <w:lang w:val="fr-FR"/>
              </w:rPr>
            </w:pPr>
          </w:p>
          <w:p w14:paraId="25F90776" w14:textId="77777777" w:rsidR="0021483D" w:rsidRPr="008B005B" w:rsidRDefault="008B005B">
            <w:pPr>
              <w:spacing w:after="0"/>
              <w:rPr>
                <w:rFonts w:ascii="sans-serif" w:hAnsi="sans-serif"/>
                <w:i/>
                <w:iCs/>
                <w:lang w:val="fr-FR"/>
              </w:rPr>
            </w:pPr>
            <w:r w:rsidRPr="008B005B">
              <w:rPr>
                <w:rFonts w:ascii="sans-serif" w:hAnsi="sans-serif"/>
                <w:sz w:val="21"/>
                <w:lang w:val="fr-FR"/>
              </w:rPr>
              <w:t>*</w:t>
            </w:r>
            <w:r w:rsidRPr="008B005B">
              <w:rPr>
                <w:rFonts w:ascii="sans-serif" w:hAnsi="sans-serif"/>
                <w:i/>
                <w:iCs/>
                <w:lang w:val="fr-FR"/>
              </w:rPr>
              <w:t xml:space="preserve">Les droits de visa pour </w:t>
            </w:r>
          </w:p>
          <w:p w14:paraId="5DA00E29" w14:textId="77777777" w:rsidR="0021483D" w:rsidRPr="008B005B" w:rsidRDefault="008B005B">
            <w:pPr>
              <w:spacing w:after="0"/>
              <w:rPr>
                <w:rFonts w:ascii="sans-serif" w:hAnsi="sans-serif"/>
                <w:i/>
                <w:iCs/>
                <w:lang w:val="fr-FR"/>
              </w:rPr>
            </w:pPr>
            <w:r w:rsidRPr="008B005B">
              <w:rPr>
                <w:rFonts w:ascii="sans-serif" w:hAnsi="sans-serif"/>
                <w:i/>
                <w:iCs/>
                <w:lang w:val="fr-FR"/>
              </w:rPr>
              <w:t>les citoyens du Cap Vert sont de 60 euros, mais il existe des exceptions pour certaines catégories</w:t>
            </w:r>
          </w:p>
          <w:p w14:paraId="604C21FF" w14:textId="77777777" w:rsidR="0021483D" w:rsidRPr="008B005B" w:rsidRDefault="0021483D">
            <w:pPr>
              <w:spacing w:after="0"/>
              <w:rPr>
                <w:lang w:val="fr-FR"/>
              </w:rPr>
            </w:pPr>
          </w:p>
          <w:p w14:paraId="63C10B14" w14:textId="77777777" w:rsidR="0021483D" w:rsidRPr="008B005B" w:rsidRDefault="0021483D">
            <w:pPr>
              <w:spacing w:after="0"/>
              <w:rPr>
                <w:sz w:val="24"/>
                <w:szCs w:val="24"/>
                <w:lang w:val="fr-FR"/>
              </w:rPr>
            </w:pPr>
          </w:p>
          <w:p w14:paraId="7FD2D721" w14:textId="77777777" w:rsidR="0021483D" w:rsidRPr="008B005B" w:rsidRDefault="0021483D">
            <w:pPr>
              <w:pStyle w:val="ListParagraph"/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382C86" w14:paraId="079A2840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7DC893" w14:textId="7A4BE837" w:rsidR="00382C86" w:rsidRDefault="00382C86" w:rsidP="00A219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BB1E1E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l-GR"/>
              </w:rPr>
              <w:t>,</w:t>
            </w:r>
            <w:r w:rsidR="00A42C72">
              <w:rPr>
                <w:sz w:val="24"/>
                <w:szCs w:val="24"/>
                <w:lang w:val="el-GR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l-GR"/>
              </w:rPr>
              <w:t xml:space="preserve"> 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84595D" w14:textId="77777777" w:rsidR="00382C86" w:rsidRPr="008B005B" w:rsidRDefault="00382C86" w:rsidP="00382C86">
            <w:pPr>
              <w:spacing w:after="0"/>
              <w:rPr>
                <w:rFonts w:ascii="sans-serif" w:hAnsi="sans-serif"/>
                <w:sz w:val="24"/>
                <w:szCs w:val="24"/>
                <w:lang w:val="fr-FR"/>
              </w:rPr>
            </w:pPr>
            <w:r w:rsidRPr="008B005B">
              <w:rPr>
                <w:sz w:val="24"/>
                <w:szCs w:val="24"/>
                <w:lang w:val="fr-FR"/>
              </w:rPr>
              <w:t>-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Enfants </w:t>
            </w:r>
            <w:r>
              <w:rPr>
                <w:rFonts w:ascii="sans-serif" w:hAnsi="sans-serif"/>
                <w:sz w:val="24"/>
                <w:szCs w:val="24"/>
                <w:lang w:val="fr-FR"/>
              </w:rPr>
              <w:t>de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ns-serif" w:hAnsi="sans-serif"/>
                <w:sz w:val="24"/>
                <w:szCs w:val="24"/>
                <w:lang w:val="fr-FR"/>
              </w:rPr>
              <w:t>6 à 12</w:t>
            </w:r>
            <w:r w:rsidRPr="008B005B">
              <w:rPr>
                <w:rFonts w:ascii="sans-serif" w:hAnsi="sans-serif"/>
                <w:sz w:val="24"/>
                <w:szCs w:val="24"/>
                <w:lang w:val="fr-FR"/>
              </w:rPr>
              <w:t xml:space="preserve"> ans.</w:t>
            </w:r>
          </w:p>
          <w:p w14:paraId="016513D7" w14:textId="77777777" w:rsidR="00382C86" w:rsidRDefault="00382C8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B6C46C" w14:textId="77777777" w:rsidR="00382C86" w:rsidRDefault="00382C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483D" w:rsidRPr="00A42C72" w14:paraId="5F4C76B0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06C307" w14:textId="633EEB5E" w:rsidR="0021483D" w:rsidRDefault="00382C86" w:rsidP="00A21939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B1E1E">
              <w:rPr>
                <w:sz w:val="24"/>
                <w:szCs w:val="24"/>
                <w:lang w:val="en-US"/>
              </w:rPr>
              <w:t>5</w:t>
            </w:r>
            <w:r w:rsidR="00A42C72">
              <w:rPr>
                <w:sz w:val="24"/>
                <w:szCs w:val="24"/>
                <w:lang w:val="el-GR"/>
              </w:rPr>
              <w:t>9,2</w:t>
            </w:r>
            <w:r w:rsidR="005475B3">
              <w:rPr>
                <w:sz w:val="24"/>
                <w:szCs w:val="24"/>
                <w:lang w:val="en-US"/>
              </w:rPr>
              <w:t>0</w:t>
            </w:r>
            <w:r w:rsidR="008B005B">
              <w:rPr>
                <w:sz w:val="24"/>
                <w:szCs w:val="24"/>
                <w:lang w:val="el-GR"/>
              </w:rPr>
              <w:t xml:space="preserve"> 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74C656" w14:textId="77777777" w:rsidR="0021483D" w:rsidRPr="00382C86" w:rsidRDefault="00382C86">
            <w:pPr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382C86">
              <w:rPr>
                <w:rFonts w:ascii="sans-serif" w:hAnsi="sans-serif"/>
                <w:sz w:val="24"/>
                <w:szCs w:val="24"/>
                <w:lang w:val="fr-FR"/>
              </w:rPr>
              <w:t>Tous les autres demandeurs qui ne sont pas inclus dans les catégories susmentionnées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E9AADB" w14:textId="77777777" w:rsidR="0021483D" w:rsidRPr="00382C86" w:rsidRDefault="0021483D">
            <w:pPr>
              <w:spacing w:after="0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137223B1" w14:textId="77777777" w:rsidR="0021483D" w:rsidRPr="00382C86" w:rsidRDefault="0021483D">
      <w:pPr>
        <w:jc w:val="both"/>
        <w:rPr>
          <w:sz w:val="24"/>
          <w:szCs w:val="24"/>
          <w:lang w:val="fr-FR"/>
        </w:rPr>
      </w:pPr>
    </w:p>
    <w:p w14:paraId="1CD00A68" w14:textId="77777777" w:rsidR="0021483D" w:rsidRPr="008B005B" w:rsidRDefault="008B005B" w:rsidP="00373A77">
      <w:pPr>
        <w:spacing w:after="120"/>
        <w:jc w:val="both"/>
        <w:rPr>
          <w:rFonts w:ascii="sans-serif" w:hAnsi="sans-serif"/>
          <w:sz w:val="24"/>
          <w:szCs w:val="24"/>
          <w:lang w:val="fr-FR"/>
        </w:rPr>
      </w:pPr>
      <w:r w:rsidRPr="008B005B">
        <w:rPr>
          <w:rFonts w:ascii="sans-serif" w:hAnsi="sans-serif"/>
          <w:sz w:val="24"/>
          <w:szCs w:val="24"/>
          <w:lang w:val="fr-FR"/>
        </w:rPr>
        <w:t>Note 1: Une quittance est délivrée pour le paiement des droits de visa.</w:t>
      </w:r>
    </w:p>
    <w:p w14:paraId="742BE7BC" w14:textId="77777777" w:rsidR="0021483D" w:rsidRPr="008B005B" w:rsidRDefault="008B005B" w:rsidP="00373A77">
      <w:pPr>
        <w:spacing w:after="120"/>
        <w:rPr>
          <w:rFonts w:ascii="sans-serif" w:hAnsi="sans-serif"/>
          <w:sz w:val="24"/>
          <w:szCs w:val="24"/>
          <w:lang w:val="fr-FR"/>
        </w:rPr>
      </w:pPr>
      <w:r w:rsidRPr="008B005B">
        <w:rPr>
          <w:rFonts w:ascii="sans-serif" w:hAnsi="sans-serif"/>
          <w:sz w:val="24"/>
          <w:szCs w:val="24"/>
          <w:lang w:val="fr-FR"/>
        </w:rPr>
        <w:t>Note 2: Les droits de visa ne sont pas remboursés sauf dans les cas où l’autorité consulaire n’admet pas la demande de visa.</w:t>
      </w:r>
    </w:p>
    <w:p w14:paraId="5365FABA" w14:textId="77777777" w:rsidR="0021483D" w:rsidRPr="008B005B" w:rsidRDefault="00373A77">
      <w:pPr>
        <w:jc w:val="both"/>
        <w:rPr>
          <w:lang w:val="fr-FR"/>
        </w:rPr>
      </w:pPr>
      <w:r w:rsidRPr="00373A77">
        <w:rPr>
          <w:rFonts w:ascii="sans-serif" w:hAnsi="sans-serif"/>
          <w:sz w:val="24"/>
          <w:szCs w:val="24"/>
          <w:lang w:val="fr-FR"/>
        </w:rPr>
        <w:t>Note 3:</w:t>
      </w:r>
      <w:r>
        <w:rPr>
          <w:lang w:val="fr-FR"/>
        </w:rPr>
        <w:t xml:space="preserve"> </w:t>
      </w:r>
      <w:r w:rsidRPr="00092541">
        <w:rPr>
          <w:rFonts w:ascii="Tahoma" w:eastAsia="Times New Roman" w:hAnsi="Tahoma" w:cs="Tahoma"/>
          <w:sz w:val="24"/>
          <w:szCs w:val="24"/>
          <w:lang w:val="fr-FR" w:eastAsia="el-GR"/>
        </w:rPr>
        <w:t>Les droits sont perçus en Dinars Tunisiens (espèces uniquement)</w:t>
      </w:r>
    </w:p>
    <w:sectPr w:rsidR="0021483D" w:rsidRPr="008B005B" w:rsidSect="0021483D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ans-serif">
    <w:altName w:val="Arial"/>
    <w:charset w:val="01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83D"/>
    <w:rsid w:val="000121B0"/>
    <w:rsid w:val="00170925"/>
    <w:rsid w:val="00180E45"/>
    <w:rsid w:val="001B0754"/>
    <w:rsid w:val="0021483D"/>
    <w:rsid w:val="002206D9"/>
    <w:rsid w:val="00277C9F"/>
    <w:rsid w:val="002F1CF4"/>
    <w:rsid w:val="00306675"/>
    <w:rsid w:val="00327DEB"/>
    <w:rsid w:val="00330D76"/>
    <w:rsid w:val="00372CA5"/>
    <w:rsid w:val="00373A77"/>
    <w:rsid w:val="00382C86"/>
    <w:rsid w:val="00391A15"/>
    <w:rsid w:val="0040199A"/>
    <w:rsid w:val="004B61CD"/>
    <w:rsid w:val="004C27B6"/>
    <w:rsid w:val="0050023C"/>
    <w:rsid w:val="00500551"/>
    <w:rsid w:val="00512B82"/>
    <w:rsid w:val="005130F9"/>
    <w:rsid w:val="00524D45"/>
    <w:rsid w:val="005475B3"/>
    <w:rsid w:val="005A5272"/>
    <w:rsid w:val="005B55C3"/>
    <w:rsid w:val="00675FD4"/>
    <w:rsid w:val="006E7639"/>
    <w:rsid w:val="00836F9F"/>
    <w:rsid w:val="008774F3"/>
    <w:rsid w:val="0088694A"/>
    <w:rsid w:val="008A06BC"/>
    <w:rsid w:val="008B005B"/>
    <w:rsid w:val="008D1DD8"/>
    <w:rsid w:val="00944FC9"/>
    <w:rsid w:val="009F537D"/>
    <w:rsid w:val="00A21939"/>
    <w:rsid w:val="00A42C72"/>
    <w:rsid w:val="00A52AAA"/>
    <w:rsid w:val="00B80D82"/>
    <w:rsid w:val="00BA1DC8"/>
    <w:rsid w:val="00BB0BD7"/>
    <w:rsid w:val="00BB1E1E"/>
    <w:rsid w:val="00BF2776"/>
    <w:rsid w:val="00C00F2C"/>
    <w:rsid w:val="00C07366"/>
    <w:rsid w:val="00D92189"/>
    <w:rsid w:val="00E44036"/>
    <w:rsid w:val="00E81C61"/>
    <w:rsid w:val="00EA02EB"/>
    <w:rsid w:val="00EC4164"/>
    <w:rsid w:val="00EF1535"/>
    <w:rsid w:val="00F53C98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8A3B"/>
  <w15:docId w15:val="{CDB58686-A206-4C32-8F42-397E854D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8D"/>
    <w:pPr>
      <w:suppressAutoHyphens/>
      <w:spacing w:after="200" w:line="276" w:lineRule="auto"/>
    </w:pPr>
    <w:rPr>
      <w:color w:val="00000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E068C"/>
    <w:rPr>
      <w:color w:val="0000FF"/>
      <w:u w:val="single"/>
    </w:rPr>
  </w:style>
  <w:style w:type="character" w:customStyle="1" w:styleId="VisitedInternetLink">
    <w:name w:val="Visited Internet Link"/>
    <w:rsid w:val="0021483D"/>
    <w:rPr>
      <w:color w:val="800000"/>
      <w:u w:val="single"/>
    </w:rPr>
  </w:style>
  <w:style w:type="paragraph" w:customStyle="1" w:styleId="Heading">
    <w:name w:val="Heading"/>
    <w:basedOn w:val="Normal"/>
    <w:next w:val="TextBody"/>
    <w:rsid w:val="0021483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21483D"/>
    <w:pPr>
      <w:spacing w:after="140" w:line="288" w:lineRule="auto"/>
    </w:pPr>
  </w:style>
  <w:style w:type="paragraph" w:styleId="List">
    <w:name w:val="List"/>
    <w:basedOn w:val="TextBody"/>
    <w:rsid w:val="0021483D"/>
    <w:rPr>
      <w:rFonts w:cs="FreeSans"/>
    </w:rPr>
  </w:style>
  <w:style w:type="paragraph" w:styleId="Caption">
    <w:name w:val="caption"/>
    <w:basedOn w:val="Normal"/>
    <w:rsid w:val="002148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21483D"/>
    <w:pPr>
      <w:suppressLineNumbers/>
    </w:pPr>
    <w:rPr>
      <w:rFonts w:cs="FreeSans"/>
    </w:rPr>
  </w:style>
  <w:style w:type="paragraph" w:styleId="ListParagraph">
    <w:name w:val="List Paragraph"/>
    <w:basedOn w:val="Normal"/>
    <w:rsid w:val="0021483D"/>
    <w:pPr>
      <w:ind w:left="720"/>
      <w:contextualSpacing/>
    </w:pPr>
  </w:style>
  <w:style w:type="table" w:styleId="TableGrid">
    <w:name w:val="Table Grid"/>
    <w:basedOn w:val="TableNormal"/>
    <w:uiPriority w:val="59"/>
    <w:rsid w:val="00541C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22013A1031(01)&amp;from=EN" TargetMode="External"/><Relationship Id="rId13" Type="http://schemas.openxmlformats.org/officeDocument/2006/relationships/hyperlink" Target="http://eur-lex.europa.eu/legal-content/EN/TXT/PDF/?uri=CELEX:22007A1219(05)&amp;from=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gal-content/EN/TXT/PDF/?uri=CELEX:22011A0225(02)&amp;from=EN" TargetMode="External"/><Relationship Id="rId12" Type="http://schemas.openxmlformats.org/officeDocument/2006/relationships/hyperlink" Target="http://eur-lex.europa.eu/legal-content/EN/TXT/PDF/?uri=CELEX:22007A1219(11)&amp;from=EN" TargetMode="External"/><Relationship Id="rId17" Type="http://schemas.openxmlformats.org/officeDocument/2006/relationships/hyperlink" Target="http://eur-lex.europa.eu/legal-content/EN/TXT/PDF/?uri=CELEX:22007A1219(08)&amp;from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ur-lex.europa.eu/legal-content/EN/TXT/PDF/?uri=CELEX:22007A1219(06)&amp;from=EN" TargetMode="Externa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EN/TXT/PDF/?uri=CELEX:22013A0620(02)&amp;from=EN" TargetMode="External"/><Relationship Id="rId11" Type="http://schemas.openxmlformats.org/officeDocument/2006/relationships/hyperlink" Target="http://eur-lex.europa.eu/legal-content/EN/TXT/PDF/?uri=CELEX:22013A0620(01)&amp;from=EN" TargetMode="External"/><Relationship Id="rId5" Type="http://schemas.openxmlformats.org/officeDocument/2006/relationships/hyperlink" Target="http://eur-lex.europa.eu/legal-content/EN/TXT/PDF/?uri=CELEX:22007A1218(02)&amp;from=EN" TargetMode="External"/><Relationship Id="rId15" Type="http://schemas.openxmlformats.org/officeDocument/2006/relationships/hyperlink" Target="http://eur-lex.europa.eu/legal-content/EN/TXT/PDF/?uri=CELEX:22007A1219(07)&amp;from=EN" TargetMode="External"/><Relationship Id="rId10" Type="http://schemas.openxmlformats.org/officeDocument/2006/relationships/hyperlink" Target="http://eur-lex.europa.eu/legal-content/EN/TXT/PDF/?uri=CELEX:22013A1024(01)&amp;from=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ur-lex.europa.eu/legal-content/EN/TXT/PDF/?uri=CELEX:22007A0517(01)&amp;from=EN" TargetMode="External"/><Relationship Id="rId9" Type="http://schemas.openxmlformats.org/officeDocument/2006/relationships/hyperlink" Target="http://eur-lex.europa.eu/legal-content/EN/TXT/PDF/?uri=CELEX:22014A0430(02)&amp;from=EN" TargetMode="External"/><Relationship Id="rId14" Type="http://schemas.openxmlformats.org/officeDocument/2006/relationships/hyperlink" Target="http://eur-lex.europa.eu/legal-content/EN/TXT/PDF/?uri=CELEX:22007A1219(09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Πρεσβεία Τύνιδα 1</cp:lastModifiedBy>
  <cp:revision>28</cp:revision>
  <dcterms:created xsi:type="dcterms:W3CDTF">2017-11-20T14:24:00Z</dcterms:created>
  <dcterms:modified xsi:type="dcterms:W3CDTF">2022-06-01T09:21:00Z</dcterms:modified>
  <dc:language>en-US</dc:language>
</cp:coreProperties>
</file>